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2429510" cy="307975"/>
            <wp:effectExtent l="0" t="0" r="8890" b="15875"/>
            <wp:docPr id="17" name="图片 1" descr="说明: id:2147498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说明: id:214749845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1" name="图片 23" descr="说明: id:2147498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 descr="说明: id:214749862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教学例题时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注意培养学生的自主学习意识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重点引导学生自己提出问题。通过对问题的提出、讨论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使学生明确求单位“</w:t>
      </w:r>
      <w:r>
        <w:t>1</w:t>
      </w:r>
      <w:r>
        <w:rPr>
          <w:rFonts w:hint="eastAsia" w:eastAsia="方正仿宋_GBK"/>
        </w:rPr>
        <w:t>”的这类型应用题的解题关键是找准量及对应关系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从而正确解题。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教学中应注重创设情境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给学生充分的表达空间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训练学生的思维习惯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要重视学生对知识的归纳、概括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学完新知后应让学生自己总结出解答分数除法应用题的一般步骤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以及解题的关键所在。在练习题的设计上紧紧围绕新知识并有一定的梯度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较好地训练了学生的思维能力。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6032E"/>
    <w:rsid w:val="2916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2018-08-15T09:03:00Z</dcterms:created>
  <dc:creator>123</dc:creator>
  <cp:lastModifiedBy>123</cp:lastModifiedBy>
  <dcterms:modified xsi:type="dcterms:W3CDTF">2018-08-15T09:04:22Z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